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附件1</w:t>
      </w:r>
    </w:p>
    <w:p>
      <w:pPr>
        <w:spacing w:line="540" w:lineRule="exact"/>
        <w:jc w:val="center"/>
        <w:rPr>
          <w:rFonts w:hint="eastAsia" w:ascii="方正小标宋简体" w:hAnsi="方正小标宋简体" w:eastAsia="方正小标宋简体" w:cs="方正小标宋简体"/>
          <w:bCs/>
          <w:color w:val="000000"/>
          <w:kern w:val="0"/>
          <w:sz w:val="44"/>
          <w:szCs w:val="44"/>
        </w:rPr>
      </w:pPr>
    </w:p>
    <w:p>
      <w:pPr>
        <w:spacing w:line="54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参考选题</w:t>
      </w:r>
    </w:p>
    <w:p>
      <w:pPr>
        <w:keepNext w:val="0"/>
        <w:keepLines w:val="0"/>
        <w:pageBreakBefore w:val="0"/>
        <w:widowControl/>
        <w:kinsoku/>
        <w:wordWrap/>
        <w:overflowPunct/>
        <w:topLinePunct w:val="0"/>
        <w:autoSpaceDE/>
        <w:autoSpaceDN/>
        <w:bidi w:val="0"/>
        <w:adjustRightInd/>
        <w:snapToGrid/>
        <w:spacing w:before="157" w:beforeLines="50" w:after="156" w:afterLines="50" w:line="580" w:lineRule="exact"/>
        <w:ind w:firstLine="680" w:firstLineChars="200"/>
        <w:jc w:val="both"/>
        <w:textAlignment w:val="auto"/>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color w:val="000000"/>
          <w:kern w:val="0"/>
          <w:sz w:val="34"/>
          <w:szCs w:val="34"/>
          <w:lang w:val="en-US" w:eastAsia="zh-CN"/>
        </w:rPr>
        <w:t>可根据参</w:t>
      </w:r>
      <w:bookmarkStart w:id="0" w:name="_GoBack"/>
      <w:bookmarkEnd w:id="0"/>
      <w:r>
        <w:rPr>
          <w:rFonts w:hint="eastAsia" w:ascii="仿宋_GB2312" w:hAnsi="仿宋_GB2312" w:eastAsia="仿宋_GB2312" w:cs="仿宋_GB2312"/>
          <w:color w:val="000000"/>
          <w:kern w:val="0"/>
          <w:sz w:val="34"/>
          <w:szCs w:val="34"/>
          <w:lang w:val="en-US" w:eastAsia="zh-CN"/>
        </w:rPr>
        <w:t>考选题自主选题，</w:t>
      </w:r>
      <w:r>
        <w:rPr>
          <w:rFonts w:hint="eastAsia" w:ascii="仿宋_GB2312" w:hAnsi="仿宋_GB2312" w:eastAsia="仿宋_GB2312" w:cs="仿宋_GB2312"/>
          <w:color w:val="000000"/>
          <w:kern w:val="0"/>
          <w:sz w:val="34"/>
          <w:szCs w:val="34"/>
        </w:rPr>
        <w:t>立足总结丰富而鲜活的中国实践经验，让世界读懂中国、读懂中国共产党、读懂中华民族以及读懂中国式现代化的应有之义</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color w:val="000000"/>
          <w:kern w:val="0"/>
          <w:sz w:val="34"/>
          <w:szCs w:val="34"/>
          <w:lang w:val="en-US" w:eastAsia="zh-CN"/>
        </w:rPr>
        <w:t>实现“小切口、大研究”的研究宗旨。</w:t>
      </w: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580" w:lineRule="exact"/>
        <w:ind w:left="0" w:leftChars="0" w:firstLine="420" w:firstLineChars="0"/>
        <w:jc w:val="both"/>
        <w:textAlignment w:val="auto"/>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中国式现代化故事的对外翻译与传播</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习近平新时代中国特色社会主义思想对外翻译研究；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中央文献翻译与对外讲好中国式现代化故事研究；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中央文献翻译与国际传播能力建设研究；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国际传播视域下的中国文化外译策略研究；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中华优秀传统文化外译与国家形象塑造研究；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中外文学交流互鉴：创作、翻译与研究；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世界文学经典的当代中国诠释；</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世界文化语境中的外国经典作家作品研究</w:t>
      </w:r>
      <w:r>
        <w:rPr>
          <w:rFonts w:hint="eastAsia" w:ascii="仿宋_GB2312" w:hAnsi="仿宋_GB2312" w:eastAsia="仿宋_GB2312" w:cs="仿宋_GB2312"/>
          <w:color w:val="000000"/>
          <w:kern w:val="0"/>
          <w:sz w:val="34"/>
          <w:szCs w:val="34"/>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人工智能与翻译实践、翻译研究融合研究；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AIGC背景下翻译硕士专业学位培养创新研究；</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中外合作办学模式下的翻译人才培养路径研究</w:t>
      </w:r>
      <w:r>
        <w:rPr>
          <w:rFonts w:hint="eastAsia" w:ascii="仿宋_GB2312" w:hAnsi="仿宋_GB2312" w:eastAsia="仿宋_GB2312" w:cs="仿宋_GB2312"/>
          <w:color w:val="000000"/>
          <w:kern w:val="0"/>
          <w:sz w:val="34"/>
          <w:szCs w:val="34"/>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翻译助力天津城市国际化建设研究。</w:t>
      </w: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580" w:lineRule="exact"/>
        <w:ind w:left="0" w:leftChars="0" w:firstLine="420" w:firstLineChars="0"/>
        <w:jc w:val="both"/>
        <w:textAlignment w:val="auto"/>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新时代中国特色大国外交与和平发展道路</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全球气候治理的新挑战及中国应对研究；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“双碳”目标下的大国气候博弈；</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能源转型下的国家安全研究；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“双碳”目标下的中国挑战与应对研究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中欧关系的发展趋势及中国应对研究；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中国国际话语权提升路径研究；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以中国特色大国外交践行总体国家安全观路径研究；</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推进共同安全与持久和平，构建中国式现代化和平发展话语体系研究。</w:t>
      </w: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580" w:lineRule="exact"/>
        <w:ind w:left="0" w:leftChars="0" w:firstLine="420" w:firstLineChars="0"/>
        <w:jc w:val="both"/>
        <w:textAlignment w:val="auto"/>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中国非遗的现代传承与国际传播</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非遗国际传播途径探索；</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新质生产力赋能非遗传承传播研究；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非遗传承传播的时代价值研究</w:t>
      </w:r>
      <w:r>
        <w:rPr>
          <w:rFonts w:hint="eastAsia" w:ascii="仿宋_GB2312" w:hAnsi="仿宋_GB2312" w:eastAsia="仿宋_GB2312" w:cs="仿宋_GB2312"/>
          <w:color w:val="000000"/>
          <w:kern w:val="0"/>
          <w:sz w:val="34"/>
          <w:szCs w:val="34"/>
          <w:lang w:eastAsia="zh-CN"/>
        </w:rPr>
        <w:t>；</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非遗文化保护现状及问题研究；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新时代背景下非遗传承传播的任务与方向研究；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非遗的数字化保护传承新模式的构建</w:t>
      </w:r>
      <w:r>
        <w:rPr>
          <w:rFonts w:hint="eastAsia" w:ascii="仿宋_GB2312" w:hAnsi="仿宋_GB2312" w:eastAsia="仿宋_GB2312" w:cs="仿宋_GB2312"/>
          <w:color w:val="000000"/>
          <w:kern w:val="0"/>
          <w:sz w:val="34"/>
          <w:szCs w:val="34"/>
          <w:lang w:eastAsia="zh-CN"/>
        </w:rPr>
        <w:t>；</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天津深化国际友城合作，促进民心相通和文明交流互鉴研究中国式现代化与非遗传承传播研究</w:t>
      </w:r>
      <w:r>
        <w:rPr>
          <w:rFonts w:hint="eastAsia" w:ascii="仿宋_GB2312" w:hAnsi="仿宋_GB2312" w:eastAsia="仿宋_GB2312" w:cs="仿宋_GB2312"/>
          <w:color w:val="000000"/>
          <w:kern w:val="0"/>
          <w:sz w:val="34"/>
          <w:szCs w:val="3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580" w:lineRule="exact"/>
        <w:ind w:left="0" w:leftChars="0" w:firstLine="420" w:firstLineChars="0"/>
        <w:jc w:val="both"/>
        <w:textAlignment w:val="auto"/>
        <w:rPr>
          <w:rFonts w:hint="eastAsia" w:ascii="黑体" w:hAnsi="黑体" w:eastAsia="黑体" w:cs="黑体"/>
          <w:b w:val="0"/>
          <w:bCs w:val="0"/>
          <w:color w:val="000000"/>
          <w:kern w:val="0"/>
          <w:sz w:val="34"/>
          <w:szCs w:val="34"/>
        </w:rPr>
      </w:pPr>
      <w:r>
        <w:rPr>
          <w:rFonts w:hint="eastAsia" w:ascii="黑体" w:hAnsi="黑体" w:eastAsia="黑体" w:cs="黑体"/>
          <w:b w:val="0"/>
          <w:bCs w:val="0"/>
          <w:color w:val="000000"/>
          <w:kern w:val="0"/>
          <w:sz w:val="34"/>
          <w:szCs w:val="34"/>
        </w:rPr>
        <w:t>中国式现代化和高质量发展过程中的创新问题研究</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新质生产力与高质量发展研究；</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数字经济创新与高水平对外开放；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金融创新支持中国式现代化研究；</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ESG产业创新、传统产业升级与企业ESG创新与表现；</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国有企业创新在中国式现代化中的功能与作用；</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中国式现代化背景下的财务管理创新；</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国际消费中心城市治理现代化中的理论与对策</w:t>
      </w:r>
      <w:r>
        <w:rPr>
          <w:rFonts w:hint="eastAsia" w:ascii="仿宋_GB2312" w:hAnsi="仿宋_GB2312" w:eastAsia="仿宋_GB2312" w:cs="仿宋_GB2312"/>
          <w:color w:val="000000"/>
          <w:kern w:val="0"/>
          <w:sz w:val="34"/>
          <w:szCs w:val="34"/>
          <w:lang w:eastAsia="zh-CN"/>
        </w:rPr>
        <w:t>；</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京津冀协同发展中的创新问题研究；</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600" w:lineRule="exact"/>
        <w:ind w:left="0" w:firstLine="454"/>
        <w:jc w:val="both"/>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天津深化高水平对外开放，深度融入共建“一带一路”研究</w:t>
      </w:r>
      <w:r>
        <w:rPr>
          <w:rFonts w:hint="eastAsia" w:ascii="仿宋_GB2312" w:hAnsi="仿宋_GB2312" w:eastAsia="仿宋_GB2312" w:cs="仿宋_GB2312"/>
          <w:color w:val="000000"/>
          <w:kern w:val="0"/>
          <w:sz w:val="34"/>
          <w:szCs w:val="34"/>
          <w:lang w:eastAsia="zh-CN"/>
        </w:rPr>
        <w:t>。</w:t>
      </w: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B5F47"/>
    <w:multiLevelType w:val="singleLevel"/>
    <w:tmpl w:val="83EB5F47"/>
    <w:lvl w:ilvl="0" w:tentative="0">
      <w:start w:val="1"/>
      <w:numFmt w:val="chineseCounting"/>
      <w:suff w:val="nothing"/>
      <w:lvlText w:val="%1、"/>
      <w:lvlJc w:val="left"/>
      <w:pPr>
        <w:ind w:left="0" w:firstLine="420"/>
      </w:pPr>
      <w:rPr>
        <w:rFonts w:hint="eastAsia"/>
      </w:rPr>
    </w:lvl>
  </w:abstractNum>
  <w:abstractNum w:abstractNumId="1">
    <w:nsid w:val="B5BB96D5"/>
    <w:multiLevelType w:val="singleLevel"/>
    <w:tmpl w:val="B5BB96D5"/>
    <w:lvl w:ilvl="0" w:tentative="0">
      <w:start w:val="1"/>
      <w:numFmt w:val="decimal"/>
      <w:suff w:val="nothing"/>
      <w:lvlText w:val="%1."/>
      <w:lvlJc w:val="left"/>
      <w:pPr>
        <w:ind w:left="454" w:hanging="454"/>
      </w:pPr>
      <w:rPr>
        <w:rFonts w:hint="default"/>
      </w:rPr>
    </w:lvl>
  </w:abstractNum>
  <w:abstractNum w:abstractNumId="2">
    <w:nsid w:val="14B47952"/>
    <w:multiLevelType w:val="singleLevel"/>
    <w:tmpl w:val="14B47952"/>
    <w:lvl w:ilvl="0" w:tentative="0">
      <w:start w:val="1"/>
      <w:numFmt w:val="decimal"/>
      <w:suff w:val="nothing"/>
      <w:lvlText w:val="%1."/>
      <w:lvlJc w:val="left"/>
      <w:pPr>
        <w:ind w:left="454" w:hanging="454"/>
      </w:pPr>
      <w:rPr>
        <w:rFonts w:hint="default"/>
      </w:rPr>
    </w:lvl>
  </w:abstractNum>
  <w:abstractNum w:abstractNumId="3">
    <w:nsid w:val="36ECDCC3"/>
    <w:multiLevelType w:val="singleLevel"/>
    <w:tmpl w:val="36ECDCC3"/>
    <w:lvl w:ilvl="0" w:tentative="0">
      <w:start w:val="1"/>
      <w:numFmt w:val="decimal"/>
      <w:suff w:val="nothing"/>
      <w:lvlText w:val="%1."/>
      <w:lvlJc w:val="left"/>
      <w:pPr>
        <w:ind w:left="454" w:hanging="454"/>
      </w:pPr>
      <w:rPr>
        <w:rFonts w:hint="default"/>
      </w:rPr>
    </w:lvl>
  </w:abstractNum>
  <w:abstractNum w:abstractNumId="4">
    <w:nsid w:val="48A2A699"/>
    <w:multiLevelType w:val="singleLevel"/>
    <w:tmpl w:val="48A2A699"/>
    <w:lvl w:ilvl="0" w:tentative="0">
      <w:start w:val="1"/>
      <w:numFmt w:val="decimal"/>
      <w:suff w:val="nothing"/>
      <w:lvlText w:val="%1."/>
      <w:lvlJc w:val="left"/>
      <w:pPr>
        <w:ind w:left="454" w:hanging="454"/>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GUzNjZlNjFhZGQzZDZkMjlkMGNhNTQ5NTJiOTUifQ=="/>
  </w:docVars>
  <w:rsids>
    <w:rsidRoot w:val="009A5E5A"/>
    <w:rsid w:val="00337F12"/>
    <w:rsid w:val="004A0EE6"/>
    <w:rsid w:val="00594F3B"/>
    <w:rsid w:val="008C23FB"/>
    <w:rsid w:val="009A5E5A"/>
    <w:rsid w:val="009D4855"/>
    <w:rsid w:val="009D6BB3"/>
    <w:rsid w:val="00A84DAF"/>
    <w:rsid w:val="00B353C6"/>
    <w:rsid w:val="039D7B38"/>
    <w:rsid w:val="0D8853B5"/>
    <w:rsid w:val="16CA09D1"/>
    <w:rsid w:val="187E48A5"/>
    <w:rsid w:val="1B390447"/>
    <w:rsid w:val="1C9E2280"/>
    <w:rsid w:val="24455956"/>
    <w:rsid w:val="2E744FC6"/>
    <w:rsid w:val="34C555F3"/>
    <w:rsid w:val="3B94244F"/>
    <w:rsid w:val="3DA46DF1"/>
    <w:rsid w:val="41FD2F47"/>
    <w:rsid w:val="4A360FD6"/>
    <w:rsid w:val="4C0F2222"/>
    <w:rsid w:val="4FB1539E"/>
    <w:rsid w:val="501B46D5"/>
    <w:rsid w:val="5CBB75DB"/>
    <w:rsid w:val="5E4C4C10"/>
    <w:rsid w:val="6CE07597"/>
    <w:rsid w:val="73F96853"/>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841</Words>
  <Characters>848</Characters>
  <Lines>6</Lines>
  <Paragraphs>1</Paragraphs>
  <TotalTime>2</TotalTime>
  <ScaleCrop>false</ScaleCrop>
  <LinksUpToDate>false</LinksUpToDate>
  <CharactersWithSpaces>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2024-07-02T02:03:00Z</dcterms:created>
  <dc:creator>lenovo</dc:creator>
  <cp:lastModifiedBy>lenovo</cp:lastModifiedBy>
  <dcterms:modified xsi:type="dcterms:W3CDTF">2024-07-12T08:29:17Z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98C9DFFE78094F9A847BB704CA867974_13</vt:lpwstr>
  </property>
</Properties>
</file>